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A60" w14:textId="77777777"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w:t>
      </w:r>
      <w:bookmarkStart w:id="0" w:name="_GoBack"/>
      <w:bookmarkEnd w:id="0"/>
      <w:r w:rsidRPr="005842E9">
        <w:rPr>
          <w:szCs w:val="24"/>
        </w:rPr>
        <w:t>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inet, Cabinet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7"/>
        <w:gridCol w:w="3270"/>
        <w:gridCol w:w="1991"/>
        <w:gridCol w:w="2764"/>
        <w:gridCol w:w="1750"/>
        <w:gridCol w:w="2398"/>
        <w:gridCol w:w="1258"/>
      </w:tblGrid>
      <w:tr w:rsidR="00BA63A6" w14:paraId="6105E818" w14:textId="77777777" w:rsidTr="00330248">
        <w:trPr>
          <w:tblHeader/>
        </w:trPr>
        <w:tc>
          <w:tcPr>
            <w:tcW w:w="1737"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3270"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91"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50"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98"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258"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C00DB1" w14:paraId="02CE6E89" w14:textId="77777777" w:rsidTr="004A4E1B">
        <w:trPr>
          <w:trHeight w:val="510"/>
        </w:trPr>
        <w:tc>
          <w:tcPr>
            <w:tcW w:w="1737" w:type="dxa"/>
          </w:tcPr>
          <w:p w14:paraId="3AA5BDEE" w14:textId="77777777" w:rsidR="00C00DB1" w:rsidRDefault="00C00DB1" w:rsidP="004A4E1B">
            <w:pPr>
              <w:rPr>
                <w:szCs w:val="24"/>
              </w:rPr>
            </w:pPr>
            <w:r>
              <w:rPr>
                <w:szCs w:val="24"/>
              </w:rPr>
              <w:t>Flood Risk Management</w:t>
            </w:r>
          </w:p>
          <w:p w14:paraId="03742BCE" w14:textId="77777777" w:rsidR="00C00DB1" w:rsidRDefault="00C00DB1" w:rsidP="004A4E1B">
            <w:pPr>
              <w:rPr>
                <w:szCs w:val="24"/>
              </w:rPr>
            </w:pPr>
          </w:p>
        </w:tc>
        <w:tc>
          <w:tcPr>
            <w:tcW w:w="3270" w:type="dxa"/>
          </w:tcPr>
          <w:p w14:paraId="1AC1373C" w14:textId="77777777" w:rsidR="00C00DB1" w:rsidRDefault="00C00DB1" w:rsidP="004A4E1B">
            <w:pPr>
              <w:rPr>
                <w:szCs w:val="24"/>
              </w:rPr>
            </w:pPr>
            <w:r>
              <w:rPr>
                <w:szCs w:val="24"/>
              </w:rPr>
              <w:t>Partnership working</w:t>
            </w:r>
          </w:p>
        </w:tc>
        <w:tc>
          <w:tcPr>
            <w:tcW w:w="1991" w:type="dxa"/>
          </w:tcPr>
          <w:p w14:paraId="0170B186" w14:textId="77777777" w:rsidR="00C00DB1" w:rsidRDefault="00C00DB1" w:rsidP="004A4E1B">
            <w:pPr>
              <w:rPr>
                <w:szCs w:val="24"/>
              </w:rPr>
            </w:pPr>
            <w:r>
              <w:rPr>
                <w:szCs w:val="24"/>
              </w:rPr>
              <w:t>Committee</w:t>
            </w:r>
          </w:p>
        </w:tc>
        <w:tc>
          <w:tcPr>
            <w:tcW w:w="2764" w:type="dxa"/>
          </w:tcPr>
          <w:p w14:paraId="5B57020C" w14:textId="77777777" w:rsidR="00C00DB1" w:rsidRDefault="00C00DB1" w:rsidP="004A4E1B">
            <w:pPr>
              <w:rPr>
                <w:szCs w:val="24"/>
              </w:rPr>
            </w:pPr>
            <w:r>
              <w:rPr>
                <w:szCs w:val="24"/>
              </w:rPr>
              <w:t>United Utilities</w:t>
            </w:r>
          </w:p>
        </w:tc>
        <w:tc>
          <w:tcPr>
            <w:tcW w:w="1750" w:type="dxa"/>
          </w:tcPr>
          <w:p w14:paraId="33F6722F" w14:textId="77777777" w:rsidR="00C00DB1" w:rsidRDefault="00C00DB1" w:rsidP="004A4E1B">
            <w:pPr>
              <w:rPr>
                <w:szCs w:val="24"/>
              </w:rPr>
            </w:pPr>
            <w:r>
              <w:rPr>
                <w:szCs w:val="24"/>
              </w:rPr>
              <w:t>June</w:t>
            </w:r>
          </w:p>
        </w:tc>
        <w:tc>
          <w:tcPr>
            <w:tcW w:w="2398" w:type="dxa"/>
          </w:tcPr>
          <w:p w14:paraId="108742A1" w14:textId="77777777" w:rsidR="00C00DB1" w:rsidRDefault="00C00DB1" w:rsidP="004A4E1B">
            <w:pPr>
              <w:rPr>
                <w:szCs w:val="24"/>
              </w:rPr>
            </w:pPr>
          </w:p>
        </w:tc>
        <w:tc>
          <w:tcPr>
            <w:tcW w:w="1258" w:type="dxa"/>
          </w:tcPr>
          <w:p w14:paraId="3013CDE4" w14:textId="77777777" w:rsidR="00C00DB1" w:rsidRDefault="00C00DB1" w:rsidP="004A4E1B">
            <w:pPr>
              <w:rPr>
                <w:szCs w:val="24"/>
              </w:rPr>
            </w:pPr>
          </w:p>
        </w:tc>
      </w:tr>
      <w:tr w:rsidR="00A308E3" w:rsidRPr="00A308E3" w14:paraId="746E4B1F" w14:textId="77777777" w:rsidTr="00C00DB1">
        <w:trPr>
          <w:trHeight w:val="510"/>
        </w:trPr>
        <w:tc>
          <w:tcPr>
            <w:tcW w:w="1737" w:type="dxa"/>
          </w:tcPr>
          <w:p w14:paraId="447334EB" w14:textId="77777777" w:rsidR="00B40E68" w:rsidRPr="00A308E3" w:rsidRDefault="00521521" w:rsidP="005F70B6">
            <w:pPr>
              <w:rPr>
                <w:rFonts w:cs="Arial"/>
                <w:color w:val="FF0000"/>
                <w:szCs w:val="24"/>
              </w:rPr>
            </w:pPr>
            <w:r w:rsidRPr="00A308E3">
              <w:rPr>
                <w:rFonts w:cs="Arial"/>
                <w:color w:val="FF0000"/>
                <w:szCs w:val="24"/>
              </w:rPr>
              <w:t>Governance of Police and Fire and Rescue Services in Lancashire</w:t>
            </w:r>
          </w:p>
          <w:p w14:paraId="12C1E93A" w14:textId="77777777" w:rsidR="00521521" w:rsidRPr="00A308E3" w:rsidRDefault="00521521" w:rsidP="005F70B6">
            <w:pPr>
              <w:rPr>
                <w:color w:val="FF0000"/>
                <w:szCs w:val="24"/>
              </w:rPr>
            </w:pPr>
          </w:p>
        </w:tc>
        <w:tc>
          <w:tcPr>
            <w:tcW w:w="3270" w:type="dxa"/>
          </w:tcPr>
          <w:p w14:paraId="341D15FC" w14:textId="77777777" w:rsidR="00B40E68" w:rsidRPr="00A308E3" w:rsidRDefault="00BA63A6" w:rsidP="005F70B6">
            <w:pPr>
              <w:rPr>
                <w:color w:val="FF0000"/>
                <w:szCs w:val="24"/>
              </w:rPr>
            </w:pPr>
            <w:r w:rsidRPr="00A308E3">
              <w:rPr>
                <w:color w:val="FF0000"/>
                <w:szCs w:val="24"/>
              </w:rPr>
              <w:t xml:space="preserve">Formulate recommendations on the local business plan and </w:t>
            </w:r>
            <w:r w:rsidR="00C00DB1" w:rsidRPr="00A308E3">
              <w:rPr>
                <w:color w:val="FF0000"/>
                <w:szCs w:val="24"/>
              </w:rPr>
              <w:t xml:space="preserve">respond to </w:t>
            </w:r>
            <w:r w:rsidRPr="00A308E3">
              <w:rPr>
                <w:color w:val="FF0000"/>
                <w:szCs w:val="24"/>
              </w:rPr>
              <w:t>public consultation</w:t>
            </w:r>
          </w:p>
        </w:tc>
        <w:tc>
          <w:tcPr>
            <w:tcW w:w="1991" w:type="dxa"/>
          </w:tcPr>
          <w:p w14:paraId="5AE13C10" w14:textId="77777777" w:rsidR="00B40E68" w:rsidRPr="00A308E3" w:rsidRDefault="00913D15" w:rsidP="005F70B6">
            <w:pPr>
              <w:rPr>
                <w:color w:val="FF0000"/>
                <w:szCs w:val="24"/>
              </w:rPr>
            </w:pPr>
            <w:r w:rsidRPr="00A308E3">
              <w:rPr>
                <w:color w:val="FF0000"/>
                <w:szCs w:val="24"/>
              </w:rPr>
              <w:t>Committee</w:t>
            </w:r>
          </w:p>
        </w:tc>
        <w:tc>
          <w:tcPr>
            <w:tcW w:w="2764" w:type="dxa"/>
          </w:tcPr>
          <w:p w14:paraId="0DCA11A6" w14:textId="77777777" w:rsidR="00B40E68" w:rsidRPr="00A308E3" w:rsidRDefault="00163DC6" w:rsidP="005F70B6">
            <w:pPr>
              <w:rPr>
                <w:color w:val="FF0000"/>
                <w:szCs w:val="24"/>
              </w:rPr>
            </w:pPr>
            <w:r w:rsidRPr="00A308E3">
              <w:rPr>
                <w:color w:val="FF0000"/>
                <w:szCs w:val="24"/>
              </w:rPr>
              <w:t>Police and Crime Commissioner, Chief Constable, Chief Fire Officer, Fire Brigades Union, Chair of Lancashire Fire Authority</w:t>
            </w:r>
          </w:p>
          <w:p w14:paraId="1C13CCFF" w14:textId="77777777" w:rsidR="00445F25" w:rsidRPr="00A308E3" w:rsidRDefault="00445F25" w:rsidP="005F70B6">
            <w:pPr>
              <w:rPr>
                <w:color w:val="FF0000"/>
                <w:szCs w:val="24"/>
              </w:rPr>
            </w:pPr>
          </w:p>
        </w:tc>
        <w:tc>
          <w:tcPr>
            <w:tcW w:w="1750" w:type="dxa"/>
          </w:tcPr>
          <w:p w14:paraId="3EAC1540" w14:textId="77777777" w:rsidR="00B40E68" w:rsidRPr="00A308E3" w:rsidRDefault="00163DC6" w:rsidP="005F70B6">
            <w:pPr>
              <w:rPr>
                <w:color w:val="FF0000"/>
                <w:szCs w:val="24"/>
              </w:rPr>
            </w:pPr>
            <w:r w:rsidRPr="00A308E3">
              <w:rPr>
                <w:color w:val="FF0000"/>
                <w:szCs w:val="24"/>
              </w:rPr>
              <w:t>July</w:t>
            </w:r>
            <w:r w:rsidR="00C00DB1" w:rsidRPr="00A308E3">
              <w:rPr>
                <w:color w:val="FF0000"/>
                <w:szCs w:val="24"/>
              </w:rPr>
              <w:t>/Sept (extraordinary meeting tbc)</w:t>
            </w:r>
          </w:p>
        </w:tc>
        <w:tc>
          <w:tcPr>
            <w:tcW w:w="2398" w:type="dxa"/>
          </w:tcPr>
          <w:p w14:paraId="6AB7FE15" w14:textId="77777777" w:rsidR="00B40E68" w:rsidRPr="00A308E3" w:rsidRDefault="00B40E68" w:rsidP="005F70B6">
            <w:pPr>
              <w:rPr>
                <w:color w:val="FF0000"/>
                <w:szCs w:val="24"/>
              </w:rPr>
            </w:pPr>
          </w:p>
        </w:tc>
        <w:tc>
          <w:tcPr>
            <w:tcW w:w="1258" w:type="dxa"/>
          </w:tcPr>
          <w:p w14:paraId="2F9B508F" w14:textId="77777777" w:rsidR="00B40E68" w:rsidRPr="00A308E3" w:rsidRDefault="00B40E68" w:rsidP="005F70B6">
            <w:pPr>
              <w:rPr>
                <w:color w:val="FF0000"/>
                <w:szCs w:val="24"/>
              </w:rPr>
            </w:pPr>
          </w:p>
        </w:tc>
      </w:tr>
      <w:tr w:rsidR="00C00DB1" w14:paraId="4C2FFA75" w14:textId="77777777" w:rsidTr="004A4E1B">
        <w:trPr>
          <w:trHeight w:val="510"/>
        </w:trPr>
        <w:tc>
          <w:tcPr>
            <w:tcW w:w="1737" w:type="dxa"/>
          </w:tcPr>
          <w:p w14:paraId="4644E7E9" w14:textId="77777777" w:rsidR="00C00DB1" w:rsidRDefault="00C00DB1" w:rsidP="004A4E1B">
            <w:pPr>
              <w:rPr>
                <w:szCs w:val="24"/>
              </w:rPr>
            </w:pPr>
            <w:r>
              <w:rPr>
                <w:szCs w:val="24"/>
              </w:rPr>
              <w:t>Transport for the North (TfN)</w:t>
            </w:r>
          </w:p>
          <w:p w14:paraId="5C81B507" w14:textId="77777777" w:rsidR="00C00DB1" w:rsidRDefault="00C00DB1" w:rsidP="004A4E1B">
            <w:pPr>
              <w:rPr>
                <w:szCs w:val="24"/>
              </w:rPr>
            </w:pPr>
          </w:p>
        </w:tc>
        <w:tc>
          <w:tcPr>
            <w:tcW w:w="3270" w:type="dxa"/>
          </w:tcPr>
          <w:p w14:paraId="770AB025" w14:textId="77777777" w:rsidR="00C00DB1" w:rsidRDefault="00C00DB1" w:rsidP="004A4E1B">
            <w:pPr>
              <w:rPr>
                <w:szCs w:val="24"/>
              </w:rPr>
            </w:pPr>
            <w:r>
              <w:rPr>
                <w:szCs w:val="24"/>
              </w:rPr>
              <w:t>Strategic Transport Plan</w:t>
            </w:r>
          </w:p>
        </w:tc>
        <w:tc>
          <w:tcPr>
            <w:tcW w:w="1991" w:type="dxa"/>
          </w:tcPr>
          <w:p w14:paraId="70147D24" w14:textId="77777777" w:rsidR="00C00DB1" w:rsidRDefault="00C00DB1" w:rsidP="004A4E1B">
            <w:pPr>
              <w:rPr>
                <w:szCs w:val="24"/>
              </w:rPr>
            </w:pPr>
            <w:r>
              <w:rPr>
                <w:szCs w:val="24"/>
              </w:rPr>
              <w:t>Committee</w:t>
            </w:r>
          </w:p>
        </w:tc>
        <w:tc>
          <w:tcPr>
            <w:tcW w:w="2764" w:type="dxa"/>
          </w:tcPr>
          <w:p w14:paraId="5D11B81A" w14:textId="77777777" w:rsidR="00C00DB1" w:rsidRDefault="00C00DB1" w:rsidP="004A4E1B">
            <w:pPr>
              <w:rPr>
                <w:szCs w:val="24"/>
              </w:rPr>
            </w:pPr>
            <w:r>
              <w:rPr>
                <w:szCs w:val="24"/>
              </w:rPr>
              <w:t>TfN</w:t>
            </w:r>
            <w:r w:rsidR="00E10F20">
              <w:rPr>
                <w:szCs w:val="24"/>
              </w:rPr>
              <w:t xml:space="preserve"> and Network Rail?</w:t>
            </w:r>
          </w:p>
        </w:tc>
        <w:tc>
          <w:tcPr>
            <w:tcW w:w="1750" w:type="dxa"/>
          </w:tcPr>
          <w:p w14:paraId="0BD09830" w14:textId="77777777" w:rsidR="00C00DB1" w:rsidRDefault="00C00DB1" w:rsidP="004A4E1B">
            <w:pPr>
              <w:rPr>
                <w:szCs w:val="24"/>
              </w:rPr>
            </w:pPr>
            <w:r>
              <w:rPr>
                <w:szCs w:val="24"/>
              </w:rPr>
              <w:t>Autumn/winter</w:t>
            </w:r>
          </w:p>
        </w:tc>
        <w:tc>
          <w:tcPr>
            <w:tcW w:w="2398" w:type="dxa"/>
          </w:tcPr>
          <w:p w14:paraId="5C6B1BA3" w14:textId="77777777" w:rsidR="00C00DB1" w:rsidRDefault="00C00DB1" w:rsidP="004A4E1B">
            <w:pPr>
              <w:rPr>
                <w:szCs w:val="24"/>
              </w:rPr>
            </w:pPr>
          </w:p>
        </w:tc>
        <w:tc>
          <w:tcPr>
            <w:tcW w:w="1258" w:type="dxa"/>
          </w:tcPr>
          <w:p w14:paraId="141030E2" w14:textId="77777777" w:rsidR="00C00DB1" w:rsidRDefault="00C00DB1" w:rsidP="004A4E1B">
            <w:pPr>
              <w:rPr>
                <w:szCs w:val="24"/>
              </w:rPr>
            </w:pPr>
          </w:p>
        </w:tc>
      </w:tr>
      <w:tr w:rsidR="00C00DB1" w14:paraId="24D6EC90" w14:textId="77777777" w:rsidTr="004A4E1B">
        <w:trPr>
          <w:trHeight w:val="510"/>
        </w:trPr>
        <w:tc>
          <w:tcPr>
            <w:tcW w:w="1737" w:type="dxa"/>
          </w:tcPr>
          <w:p w14:paraId="67A848B9" w14:textId="77777777" w:rsidR="00C00DB1" w:rsidRDefault="00C00DB1" w:rsidP="004A4E1B">
            <w:pPr>
              <w:rPr>
                <w:szCs w:val="24"/>
              </w:rPr>
            </w:pPr>
            <w:r>
              <w:rPr>
                <w:szCs w:val="24"/>
              </w:rPr>
              <w:t>Lancashire Enterprise Partnership (LEP)</w:t>
            </w:r>
          </w:p>
          <w:p w14:paraId="3DFAC277" w14:textId="77777777" w:rsidR="00445F25" w:rsidRDefault="00445F25" w:rsidP="004A4E1B">
            <w:pPr>
              <w:rPr>
                <w:szCs w:val="24"/>
              </w:rPr>
            </w:pPr>
          </w:p>
        </w:tc>
        <w:tc>
          <w:tcPr>
            <w:tcW w:w="3270" w:type="dxa"/>
          </w:tcPr>
          <w:p w14:paraId="5803203A" w14:textId="77777777" w:rsidR="00C00DB1" w:rsidRDefault="00C00DB1" w:rsidP="004A4E1B">
            <w:pPr>
              <w:rPr>
                <w:szCs w:val="24"/>
              </w:rPr>
            </w:pPr>
          </w:p>
        </w:tc>
        <w:tc>
          <w:tcPr>
            <w:tcW w:w="1991" w:type="dxa"/>
          </w:tcPr>
          <w:p w14:paraId="0AF8387A" w14:textId="77777777" w:rsidR="00C00DB1" w:rsidRDefault="00C00DB1" w:rsidP="004A4E1B">
            <w:pPr>
              <w:rPr>
                <w:szCs w:val="24"/>
              </w:rPr>
            </w:pPr>
            <w:r>
              <w:rPr>
                <w:szCs w:val="24"/>
              </w:rPr>
              <w:t>Committee</w:t>
            </w:r>
          </w:p>
        </w:tc>
        <w:tc>
          <w:tcPr>
            <w:tcW w:w="2764" w:type="dxa"/>
          </w:tcPr>
          <w:p w14:paraId="6F9B46E8" w14:textId="77777777" w:rsidR="00C00DB1" w:rsidRDefault="00C00DB1" w:rsidP="004A4E1B">
            <w:pPr>
              <w:rPr>
                <w:szCs w:val="24"/>
              </w:rPr>
            </w:pPr>
            <w:r>
              <w:rPr>
                <w:szCs w:val="24"/>
              </w:rPr>
              <w:t>Martin Kelly, Stephen Young…</w:t>
            </w:r>
          </w:p>
        </w:tc>
        <w:tc>
          <w:tcPr>
            <w:tcW w:w="1750" w:type="dxa"/>
          </w:tcPr>
          <w:p w14:paraId="32FC2107" w14:textId="77777777" w:rsidR="00C00DB1" w:rsidRDefault="00727378" w:rsidP="004A4E1B">
            <w:pPr>
              <w:rPr>
                <w:szCs w:val="24"/>
              </w:rPr>
            </w:pPr>
            <w:r>
              <w:rPr>
                <w:szCs w:val="24"/>
              </w:rPr>
              <w:t>Spring 2019</w:t>
            </w:r>
          </w:p>
        </w:tc>
        <w:tc>
          <w:tcPr>
            <w:tcW w:w="2398" w:type="dxa"/>
          </w:tcPr>
          <w:p w14:paraId="0D8BCF01" w14:textId="77777777" w:rsidR="00C00DB1" w:rsidRDefault="00C00DB1" w:rsidP="004A4E1B">
            <w:pPr>
              <w:rPr>
                <w:szCs w:val="24"/>
              </w:rPr>
            </w:pPr>
          </w:p>
        </w:tc>
        <w:tc>
          <w:tcPr>
            <w:tcW w:w="1258" w:type="dxa"/>
          </w:tcPr>
          <w:p w14:paraId="47911B73" w14:textId="77777777" w:rsidR="00C00DB1" w:rsidRDefault="00C00DB1" w:rsidP="004A4E1B">
            <w:pPr>
              <w:rPr>
                <w:szCs w:val="24"/>
              </w:rPr>
            </w:pPr>
          </w:p>
        </w:tc>
      </w:tr>
      <w:tr w:rsidR="00330248" w14:paraId="1D7B025E" w14:textId="77777777" w:rsidTr="004A4E1B">
        <w:trPr>
          <w:trHeight w:val="510"/>
        </w:trPr>
        <w:tc>
          <w:tcPr>
            <w:tcW w:w="1737" w:type="dxa"/>
          </w:tcPr>
          <w:p w14:paraId="643E055C" w14:textId="77777777" w:rsidR="00330248" w:rsidRDefault="00330248" w:rsidP="004A4E1B">
            <w:pPr>
              <w:rPr>
                <w:szCs w:val="24"/>
              </w:rPr>
            </w:pPr>
            <w:r>
              <w:rPr>
                <w:szCs w:val="24"/>
              </w:rPr>
              <w:t>Energy</w:t>
            </w:r>
          </w:p>
        </w:tc>
        <w:tc>
          <w:tcPr>
            <w:tcW w:w="3270" w:type="dxa"/>
          </w:tcPr>
          <w:p w14:paraId="3A608B57" w14:textId="77777777" w:rsidR="00330248" w:rsidRDefault="00330248" w:rsidP="004A4E1B">
            <w:pPr>
              <w:rPr>
                <w:szCs w:val="24"/>
              </w:rPr>
            </w:pPr>
            <w:r>
              <w:rPr>
                <w:szCs w:val="24"/>
              </w:rPr>
              <w:t>Renewable and alternative. How are they coming together? A vision for Lancashire.</w:t>
            </w:r>
          </w:p>
        </w:tc>
        <w:tc>
          <w:tcPr>
            <w:tcW w:w="1991" w:type="dxa"/>
          </w:tcPr>
          <w:p w14:paraId="24CE582E" w14:textId="77777777" w:rsidR="00330248" w:rsidRDefault="00330248" w:rsidP="004A4E1B">
            <w:pPr>
              <w:rPr>
                <w:szCs w:val="24"/>
              </w:rPr>
            </w:pPr>
            <w:r>
              <w:rPr>
                <w:szCs w:val="24"/>
              </w:rPr>
              <w:t>Scrutiny Inquiry Day</w:t>
            </w:r>
            <w:r w:rsidR="002B1D6A">
              <w:rPr>
                <w:szCs w:val="24"/>
              </w:rPr>
              <w:t>/Committee</w:t>
            </w:r>
          </w:p>
        </w:tc>
        <w:tc>
          <w:tcPr>
            <w:tcW w:w="2764" w:type="dxa"/>
          </w:tcPr>
          <w:p w14:paraId="1B19B2CE" w14:textId="77777777" w:rsidR="00330248" w:rsidRDefault="00330248" w:rsidP="004A4E1B">
            <w:pPr>
              <w:rPr>
                <w:szCs w:val="24"/>
              </w:rPr>
            </w:pPr>
            <w:r>
              <w:rPr>
                <w:szCs w:val="24"/>
              </w:rPr>
              <w:t>British Gas, Electricity North West, Lancashire Energy HQ, Natural Energy Wyre, Halite Energy</w:t>
            </w:r>
            <w:r w:rsidR="00727378">
              <w:rPr>
                <w:szCs w:val="24"/>
              </w:rPr>
              <w:t>, Ecotricity…</w:t>
            </w:r>
          </w:p>
        </w:tc>
        <w:tc>
          <w:tcPr>
            <w:tcW w:w="1750" w:type="dxa"/>
          </w:tcPr>
          <w:p w14:paraId="43ED575C" w14:textId="77777777" w:rsidR="00330248" w:rsidRDefault="000D5685" w:rsidP="004A4E1B">
            <w:pPr>
              <w:rPr>
                <w:szCs w:val="24"/>
              </w:rPr>
            </w:pPr>
            <w:r>
              <w:rPr>
                <w:szCs w:val="24"/>
              </w:rPr>
              <w:t>Winter/spring 2019</w:t>
            </w:r>
          </w:p>
        </w:tc>
        <w:tc>
          <w:tcPr>
            <w:tcW w:w="2398" w:type="dxa"/>
          </w:tcPr>
          <w:p w14:paraId="033D4C0D" w14:textId="77777777" w:rsidR="00330248" w:rsidRDefault="00330248" w:rsidP="004A4E1B">
            <w:pPr>
              <w:rPr>
                <w:szCs w:val="24"/>
              </w:rPr>
            </w:pPr>
          </w:p>
        </w:tc>
        <w:tc>
          <w:tcPr>
            <w:tcW w:w="1258" w:type="dxa"/>
          </w:tcPr>
          <w:p w14:paraId="619B4A37" w14:textId="77777777" w:rsidR="00330248" w:rsidRDefault="00330248" w:rsidP="004A4E1B">
            <w:pPr>
              <w:rPr>
                <w:szCs w:val="24"/>
              </w:rPr>
            </w:pPr>
          </w:p>
        </w:tc>
      </w:tr>
      <w:tr w:rsidR="00CC19C8" w14:paraId="6057C5D7" w14:textId="77777777" w:rsidTr="004A4E1B">
        <w:trPr>
          <w:trHeight w:val="510"/>
        </w:trPr>
        <w:tc>
          <w:tcPr>
            <w:tcW w:w="1737" w:type="dxa"/>
          </w:tcPr>
          <w:p w14:paraId="13168739" w14:textId="77777777" w:rsidR="00CC19C8" w:rsidRDefault="00CC19C8" w:rsidP="004A4E1B">
            <w:pPr>
              <w:rPr>
                <w:szCs w:val="24"/>
              </w:rPr>
            </w:pPr>
            <w:r>
              <w:rPr>
                <w:szCs w:val="24"/>
              </w:rPr>
              <w:t>Community Safety Partnerships</w:t>
            </w:r>
          </w:p>
        </w:tc>
        <w:tc>
          <w:tcPr>
            <w:tcW w:w="3270" w:type="dxa"/>
          </w:tcPr>
          <w:p w14:paraId="624E5C96" w14:textId="77777777" w:rsidR="00CC19C8" w:rsidRDefault="00CC19C8" w:rsidP="004A4E1B">
            <w:pPr>
              <w:rPr>
                <w:szCs w:val="24"/>
              </w:rPr>
            </w:pPr>
            <w:r>
              <w:rPr>
                <w:szCs w:val="24"/>
              </w:rPr>
              <w:t>Strategic Assessment - overview</w:t>
            </w:r>
          </w:p>
        </w:tc>
        <w:tc>
          <w:tcPr>
            <w:tcW w:w="1991" w:type="dxa"/>
          </w:tcPr>
          <w:p w14:paraId="7342E03F" w14:textId="77777777" w:rsidR="00CC19C8" w:rsidRDefault="00CC19C8" w:rsidP="004A4E1B">
            <w:pPr>
              <w:rPr>
                <w:szCs w:val="24"/>
              </w:rPr>
            </w:pPr>
            <w:r>
              <w:rPr>
                <w:szCs w:val="24"/>
              </w:rPr>
              <w:t>Committee</w:t>
            </w:r>
          </w:p>
        </w:tc>
        <w:tc>
          <w:tcPr>
            <w:tcW w:w="2764" w:type="dxa"/>
          </w:tcPr>
          <w:p w14:paraId="67A1D775" w14:textId="739B3668" w:rsidR="00CC19C8" w:rsidRDefault="00673267" w:rsidP="004A4E1B">
            <w:pPr>
              <w:rPr>
                <w:szCs w:val="24"/>
              </w:rPr>
            </w:pPr>
            <w:r>
              <w:rPr>
                <w:szCs w:val="24"/>
              </w:rPr>
              <w:t>Debbie Thompson and Clare Platt, LCC</w:t>
            </w:r>
          </w:p>
        </w:tc>
        <w:tc>
          <w:tcPr>
            <w:tcW w:w="1750" w:type="dxa"/>
          </w:tcPr>
          <w:p w14:paraId="46D38609" w14:textId="5900B5C6" w:rsidR="00CC19C8" w:rsidRDefault="00673267" w:rsidP="004A4E1B">
            <w:pPr>
              <w:rPr>
                <w:szCs w:val="24"/>
              </w:rPr>
            </w:pPr>
            <w:r>
              <w:rPr>
                <w:szCs w:val="24"/>
              </w:rPr>
              <w:t>January 2019</w:t>
            </w:r>
          </w:p>
        </w:tc>
        <w:tc>
          <w:tcPr>
            <w:tcW w:w="2398" w:type="dxa"/>
          </w:tcPr>
          <w:p w14:paraId="3BC9DBA4" w14:textId="77777777" w:rsidR="00CC19C8" w:rsidRDefault="00CC19C8" w:rsidP="004A4E1B">
            <w:pPr>
              <w:rPr>
                <w:szCs w:val="24"/>
              </w:rPr>
            </w:pPr>
          </w:p>
        </w:tc>
        <w:tc>
          <w:tcPr>
            <w:tcW w:w="1258" w:type="dxa"/>
          </w:tcPr>
          <w:p w14:paraId="49FBEA49" w14:textId="77777777" w:rsidR="00CC19C8" w:rsidRDefault="00CC19C8" w:rsidP="004A4E1B">
            <w:pPr>
              <w:rPr>
                <w:szCs w:val="24"/>
              </w:rPr>
            </w:pPr>
          </w:p>
        </w:tc>
      </w:tr>
      <w:tr w:rsidR="00445F25" w:rsidRPr="00445F25" w14:paraId="2C79901D" w14:textId="77777777" w:rsidTr="00C00DB1">
        <w:trPr>
          <w:trHeight w:val="510"/>
        </w:trPr>
        <w:tc>
          <w:tcPr>
            <w:tcW w:w="1737" w:type="dxa"/>
          </w:tcPr>
          <w:p w14:paraId="224DA259" w14:textId="77777777" w:rsidR="00933ED4" w:rsidRPr="00445F25" w:rsidRDefault="00521521" w:rsidP="005F70B6">
            <w:pPr>
              <w:rPr>
                <w:szCs w:val="24"/>
              </w:rPr>
            </w:pPr>
            <w:r w:rsidRPr="00445F25">
              <w:rPr>
                <w:szCs w:val="24"/>
              </w:rPr>
              <w:lastRenderedPageBreak/>
              <w:t>Community Safety Partnerships</w:t>
            </w:r>
          </w:p>
          <w:p w14:paraId="1759F0A0" w14:textId="77777777" w:rsidR="00521521" w:rsidRPr="00445F25" w:rsidRDefault="00521521" w:rsidP="005F70B6">
            <w:pPr>
              <w:rPr>
                <w:szCs w:val="24"/>
              </w:rPr>
            </w:pPr>
          </w:p>
        </w:tc>
        <w:tc>
          <w:tcPr>
            <w:tcW w:w="3270" w:type="dxa"/>
          </w:tcPr>
          <w:p w14:paraId="7070D7C1" w14:textId="77777777" w:rsidR="00445F25" w:rsidRDefault="00BA63A6" w:rsidP="00445F25">
            <w:pPr>
              <w:rPr>
                <w:rFonts w:cs="Arial"/>
                <w:szCs w:val="24"/>
              </w:rPr>
            </w:pPr>
            <w:r w:rsidRPr="00445F25">
              <w:rPr>
                <w:szCs w:val="24"/>
              </w:rPr>
              <w:t>Lancashire Community Safety Agreement</w:t>
            </w:r>
            <w:r w:rsidR="00163DC6" w:rsidRPr="00445F25">
              <w:rPr>
                <w:szCs w:val="24"/>
              </w:rPr>
              <w:t xml:space="preserve"> - </w:t>
            </w:r>
            <w:r w:rsidR="00163DC6" w:rsidRPr="00445F25">
              <w:rPr>
                <w:rFonts w:cs="Arial"/>
                <w:b/>
                <w:szCs w:val="24"/>
              </w:rPr>
              <w:t>Either;</w:t>
            </w:r>
            <w:r w:rsidR="00163DC6" w:rsidRPr="00445F25">
              <w:rPr>
                <w:rFonts w:cs="Arial"/>
                <w:szCs w:val="24"/>
              </w:rPr>
              <w:t xml:space="preserve"> </w:t>
            </w:r>
          </w:p>
          <w:p w14:paraId="3411F8B5" w14:textId="77777777" w:rsidR="00445F25" w:rsidRPr="00445F25" w:rsidRDefault="00445F25" w:rsidP="00445F25">
            <w:pPr>
              <w:pStyle w:val="ListParagraph"/>
              <w:numPr>
                <w:ilvl w:val="0"/>
                <w:numId w:val="8"/>
              </w:numPr>
              <w:rPr>
                <w:rFonts w:cs="Arial"/>
                <w:szCs w:val="24"/>
              </w:rPr>
            </w:pPr>
            <w:r w:rsidRPr="00445F25">
              <w:rPr>
                <w:rFonts w:cs="Arial"/>
                <w:szCs w:val="24"/>
              </w:rPr>
              <w:t>Prevent</w:t>
            </w:r>
            <w:r>
              <w:rPr>
                <w:rFonts w:cs="Arial"/>
                <w:szCs w:val="24"/>
              </w:rPr>
              <w:t>;</w:t>
            </w:r>
          </w:p>
          <w:p w14:paraId="307EF951" w14:textId="77777777" w:rsidR="00445F25" w:rsidRPr="00445F25" w:rsidRDefault="00445F25" w:rsidP="00445F25">
            <w:pPr>
              <w:pStyle w:val="ListParagraph"/>
              <w:numPr>
                <w:ilvl w:val="0"/>
                <w:numId w:val="8"/>
              </w:numPr>
              <w:rPr>
                <w:rFonts w:cs="Arial"/>
                <w:szCs w:val="24"/>
              </w:rPr>
            </w:pPr>
            <w:r w:rsidRPr="00445F25">
              <w:rPr>
                <w:rFonts w:cs="Arial"/>
                <w:szCs w:val="24"/>
              </w:rPr>
              <w:t>Serious Harm Reduction Strategy</w:t>
            </w:r>
            <w:r>
              <w:rPr>
                <w:rFonts w:cs="Arial"/>
                <w:szCs w:val="24"/>
              </w:rPr>
              <w:t>;</w:t>
            </w:r>
          </w:p>
          <w:p w14:paraId="122F6FCC" w14:textId="77777777" w:rsidR="00933ED4" w:rsidRPr="00445F25" w:rsidRDefault="00163DC6" w:rsidP="00445F25">
            <w:pPr>
              <w:pStyle w:val="ListParagraph"/>
              <w:numPr>
                <w:ilvl w:val="0"/>
                <w:numId w:val="8"/>
              </w:numPr>
              <w:rPr>
                <w:rFonts w:cs="Arial"/>
                <w:szCs w:val="24"/>
              </w:rPr>
            </w:pPr>
            <w:r w:rsidRPr="00445F25">
              <w:rPr>
                <w:rFonts w:cs="Arial"/>
                <w:szCs w:val="24"/>
              </w:rPr>
              <w:t>Pan-Lan</w:t>
            </w:r>
            <w:r w:rsidR="00445F25" w:rsidRPr="00445F25">
              <w:rPr>
                <w:rFonts w:cs="Arial"/>
                <w:szCs w:val="24"/>
              </w:rPr>
              <w:t>cashire Domestic Abuse Strategy; or</w:t>
            </w:r>
          </w:p>
          <w:p w14:paraId="40E090A5" w14:textId="77777777" w:rsidR="00445F25" w:rsidRPr="00445F25" w:rsidRDefault="00445F25" w:rsidP="00445F25">
            <w:pPr>
              <w:pStyle w:val="ListParagraph"/>
              <w:numPr>
                <w:ilvl w:val="0"/>
                <w:numId w:val="8"/>
              </w:numPr>
              <w:rPr>
                <w:rFonts w:cs="Arial"/>
                <w:szCs w:val="24"/>
              </w:rPr>
            </w:pPr>
            <w:r w:rsidRPr="00445F25">
              <w:rPr>
                <w:rFonts w:cs="Arial"/>
                <w:szCs w:val="24"/>
              </w:rPr>
              <w:t>Towards Zero Lancashire: Road Safety Strategy for Lancashire</w:t>
            </w:r>
            <w:r>
              <w:rPr>
                <w:rFonts w:cs="Arial"/>
                <w:szCs w:val="24"/>
              </w:rPr>
              <w:t>.</w:t>
            </w:r>
          </w:p>
          <w:p w14:paraId="0219D1E0" w14:textId="77777777" w:rsidR="00445F25" w:rsidRPr="00445F25" w:rsidRDefault="00445F25" w:rsidP="00445F25">
            <w:pPr>
              <w:rPr>
                <w:szCs w:val="24"/>
              </w:rPr>
            </w:pPr>
          </w:p>
        </w:tc>
        <w:tc>
          <w:tcPr>
            <w:tcW w:w="1991" w:type="dxa"/>
          </w:tcPr>
          <w:p w14:paraId="3395403D" w14:textId="77777777" w:rsidR="00933ED4" w:rsidRPr="00445F25" w:rsidRDefault="00913D15" w:rsidP="005F70B6">
            <w:pPr>
              <w:rPr>
                <w:szCs w:val="24"/>
              </w:rPr>
            </w:pPr>
            <w:r w:rsidRPr="00445F25">
              <w:rPr>
                <w:szCs w:val="24"/>
              </w:rPr>
              <w:t>Committee</w:t>
            </w:r>
          </w:p>
        </w:tc>
        <w:tc>
          <w:tcPr>
            <w:tcW w:w="2764" w:type="dxa"/>
          </w:tcPr>
          <w:p w14:paraId="7FCE3109" w14:textId="77777777" w:rsidR="00933ED4" w:rsidRPr="00445F25" w:rsidRDefault="00445F25" w:rsidP="005F70B6">
            <w:pPr>
              <w:rPr>
                <w:szCs w:val="24"/>
              </w:rPr>
            </w:pPr>
            <w:r w:rsidRPr="00445F25">
              <w:rPr>
                <w:szCs w:val="24"/>
              </w:rPr>
              <w:t>LCC</w:t>
            </w:r>
          </w:p>
        </w:tc>
        <w:tc>
          <w:tcPr>
            <w:tcW w:w="1750" w:type="dxa"/>
          </w:tcPr>
          <w:p w14:paraId="243C250D" w14:textId="1A072878" w:rsidR="00933ED4" w:rsidRPr="006F702A" w:rsidRDefault="007F4FE8" w:rsidP="005F70B6">
            <w:pPr>
              <w:rPr>
                <w:color w:val="FF0000"/>
                <w:szCs w:val="24"/>
              </w:rPr>
            </w:pPr>
            <w:r>
              <w:rPr>
                <w:color w:val="FF0000"/>
                <w:szCs w:val="24"/>
              </w:rPr>
              <w:t>Octo</w:t>
            </w:r>
            <w:r w:rsidR="00CC19C8">
              <w:rPr>
                <w:color w:val="FF0000"/>
                <w:szCs w:val="24"/>
              </w:rPr>
              <w:t>ber</w:t>
            </w:r>
            <w:r w:rsidR="006F702A" w:rsidRPr="006F702A">
              <w:rPr>
                <w:color w:val="FF0000"/>
                <w:szCs w:val="24"/>
              </w:rPr>
              <w:t xml:space="preserve"> (prevent?)</w:t>
            </w:r>
          </w:p>
        </w:tc>
        <w:tc>
          <w:tcPr>
            <w:tcW w:w="2398" w:type="dxa"/>
          </w:tcPr>
          <w:p w14:paraId="32662416" w14:textId="77777777" w:rsidR="00933ED4" w:rsidRPr="00445F25" w:rsidRDefault="00933ED4" w:rsidP="005F70B6">
            <w:pPr>
              <w:rPr>
                <w:szCs w:val="24"/>
              </w:rPr>
            </w:pPr>
          </w:p>
        </w:tc>
        <w:tc>
          <w:tcPr>
            <w:tcW w:w="1258" w:type="dxa"/>
          </w:tcPr>
          <w:p w14:paraId="13833AF5" w14:textId="77777777" w:rsidR="00933ED4" w:rsidRPr="00445F25" w:rsidRDefault="00933ED4" w:rsidP="005F70B6">
            <w:pPr>
              <w:rPr>
                <w:szCs w:val="24"/>
              </w:rPr>
            </w:pPr>
          </w:p>
        </w:tc>
      </w:tr>
      <w:tr w:rsidR="00C00DB1" w14:paraId="603531E5" w14:textId="77777777" w:rsidTr="004A4E1B">
        <w:trPr>
          <w:trHeight w:val="510"/>
        </w:trPr>
        <w:tc>
          <w:tcPr>
            <w:tcW w:w="1737" w:type="dxa"/>
          </w:tcPr>
          <w:p w14:paraId="4E9A6A79" w14:textId="77777777" w:rsidR="00C00DB1" w:rsidRDefault="00C00DB1" w:rsidP="004A4E1B">
            <w:pPr>
              <w:rPr>
                <w:szCs w:val="24"/>
              </w:rPr>
            </w:pPr>
            <w:r>
              <w:rPr>
                <w:szCs w:val="24"/>
              </w:rPr>
              <w:t>Advanced Manufacturing</w:t>
            </w:r>
          </w:p>
          <w:p w14:paraId="14F377CE" w14:textId="77777777" w:rsidR="00C00DB1" w:rsidRDefault="00C00DB1" w:rsidP="004A4E1B">
            <w:pPr>
              <w:rPr>
                <w:szCs w:val="24"/>
              </w:rPr>
            </w:pPr>
          </w:p>
        </w:tc>
        <w:tc>
          <w:tcPr>
            <w:tcW w:w="3270" w:type="dxa"/>
          </w:tcPr>
          <w:p w14:paraId="5B47D720" w14:textId="77777777" w:rsidR="00C00DB1" w:rsidRDefault="00C00DB1" w:rsidP="004A4E1B">
            <w:pPr>
              <w:rPr>
                <w:szCs w:val="24"/>
              </w:rPr>
            </w:pPr>
            <w:r>
              <w:rPr>
                <w:szCs w:val="24"/>
              </w:rPr>
              <w:t>Impact of Brexit</w:t>
            </w:r>
          </w:p>
        </w:tc>
        <w:tc>
          <w:tcPr>
            <w:tcW w:w="1991" w:type="dxa"/>
          </w:tcPr>
          <w:p w14:paraId="6E14D6CA" w14:textId="77777777" w:rsidR="00C00DB1" w:rsidRDefault="00C00DB1" w:rsidP="004A4E1B">
            <w:pPr>
              <w:rPr>
                <w:szCs w:val="24"/>
              </w:rPr>
            </w:pPr>
            <w:r>
              <w:rPr>
                <w:szCs w:val="24"/>
              </w:rPr>
              <w:t>Rapporteur</w:t>
            </w:r>
            <w:r w:rsidR="00CC19C8">
              <w:rPr>
                <w:szCs w:val="24"/>
              </w:rPr>
              <w:t xml:space="preserve"> (CC C Crompton)</w:t>
            </w:r>
          </w:p>
        </w:tc>
        <w:tc>
          <w:tcPr>
            <w:tcW w:w="2764" w:type="dxa"/>
          </w:tcPr>
          <w:p w14:paraId="3081005D" w14:textId="77777777" w:rsidR="00C00DB1" w:rsidRDefault="00C00DB1" w:rsidP="004A4E1B">
            <w:pPr>
              <w:rPr>
                <w:szCs w:val="24"/>
              </w:rPr>
            </w:pPr>
            <w:r>
              <w:rPr>
                <w:szCs w:val="24"/>
              </w:rPr>
              <w:t>North West Aerospace Alliance, BAE, UCLAN Engineering Innovation Centre (EIC)</w:t>
            </w:r>
          </w:p>
          <w:p w14:paraId="5FF7C8B9" w14:textId="77777777" w:rsidR="00445F25" w:rsidRDefault="00445F25" w:rsidP="004A4E1B">
            <w:pPr>
              <w:rPr>
                <w:szCs w:val="24"/>
              </w:rPr>
            </w:pPr>
          </w:p>
        </w:tc>
        <w:tc>
          <w:tcPr>
            <w:tcW w:w="1750" w:type="dxa"/>
          </w:tcPr>
          <w:p w14:paraId="3FDC5259" w14:textId="77777777" w:rsidR="00C00DB1" w:rsidRDefault="00C00DB1" w:rsidP="004A4E1B">
            <w:pPr>
              <w:rPr>
                <w:szCs w:val="24"/>
              </w:rPr>
            </w:pPr>
          </w:p>
        </w:tc>
        <w:tc>
          <w:tcPr>
            <w:tcW w:w="2398" w:type="dxa"/>
          </w:tcPr>
          <w:p w14:paraId="025004D1" w14:textId="77777777" w:rsidR="00C00DB1" w:rsidRDefault="00C00DB1" w:rsidP="004A4E1B">
            <w:pPr>
              <w:rPr>
                <w:szCs w:val="24"/>
              </w:rPr>
            </w:pPr>
          </w:p>
        </w:tc>
        <w:tc>
          <w:tcPr>
            <w:tcW w:w="1258" w:type="dxa"/>
          </w:tcPr>
          <w:p w14:paraId="52D5694B" w14:textId="77777777" w:rsidR="00C00DB1" w:rsidRDefault="00C00DB1" w:rsidP="004A4E1B">
            <w:pPr>
              <w:rPr>
                <w:szCs w:val="24"/>
              </w:rPr>
            </w:pPr>
          </w:p>
        </w:tc>
      </w:tr>
      <w:tr w:rsidR="00C00DB1" w14:paraId="79DEBA3B" w14:textId="77777777" w:rsidTr="004A4E1B">
        <w:trPr>
          <w:trHeight w:val="510"/>
        </w:trPr>
        <w:tc>
          <w:tcPr>
            <w:tcW w:w="1737" w:type="dxa"/>
          </w:tcPr>
          <w:p w14:paraId="73C81241" w14:textId="77777777" w:rsidR="00C00DB1" w:rsidRDefault="00C00DB1" w:rsidP="004A4E1B">
            <w:pPr>
              <w:rPr>
                <w:szCs w:val="24"/>
              </w:rPr>
            </w:pPr>
            <w:r>
              <w:rPr>
                <w:szCs w:val="24"/>
              </w:rPr>
              <w:t>Homes England</w:t>
            </w:r>
          </w:p>
          <w:p w14:paraId="5D712F50" w14:textId="77777777" w:rsidR="00C00DB1" w:rsidRDefault="00C00DB1" w:rsidP="004A4E1B">
            <w:pPr>
              <w:rPr>
                <w:szCs w:val="24"/>
              </w:rPr>
            </w:pPr>
          </w:p>
        </w:tc>
        <w:tc>
          <w:tcPr>
            <w:tcW w:w="3270" w:type="dxa"/>
          </w:tcPr>
          <w:p w14:paraId="5A30F8E3" w14:textId="77777777" w:rsidR="00C00DB1" w:rsidRDefault="00C00DB1" w:rsidP="004A4E1B">
            <w:pPr>
              <w:rPr>
                <w:szCs w:val="24"/>
              </w:rPr>
            </w:pPr>
            <w:r>
              <w:rPr>
                <w:szCs w:val="24"/>
              </w:rPr>
              <w:t>Unlocking brownfield sites across Lancashire</w:t>
            </w:r>
          </w:p>
        </w:tc>
        <w:tc>
          <w:tcPr>
            <w:tcW w:w="1991" w:type="dxa"/>
          </w:tcPr>
          <w:p w14:paraId="23C8FABA" w14:textId="77777777" w:rsidR="00C00DB1" w:rsidRDefault="00C00DB1" w:rsidP="004A4E1B">
            <w:pPr>
              <w:rPr>
                <w:szCs w:val="24"/>
              </w:rPr>
            </w:pPr>
            <w:r>
              <w:rPr>
                <w:szCs w:val="24"/>
              </w:rPr>
              <w:t>Rapporteur</w:t>
            </w:r>
            <w:r w:rsidR="00CC19C8">
              <w:rPr>
                <w:szCs w:val="24"/>
              </w:rPr>
              <w:t xml:space="preserve"> (CC A Ali)</w:t>
            </w:r>
          </w:p>
        </w:tc>
        <w:tc>
          <w:tcPr>
            <w:tcW w:w="2764" w:type="dxa"/>
          </w:tcPr>
          <w:p w14:paraId="70477860" w14:textId="77777777" w:rsidR="00C00DB1" w:rsidRDefault="00C00DB1" w:rsidP="004A4E1B">
            <w:pPr>
              <w:rPr>
                <w:szCs w:val="24"/>
              </w:rPr>
            </w:pPr>
            <w:r>
              <w:rPr>
                <w:szCs w:val="24"/>
              </w:rPr>
              <w:t>Homes England</w:t>
            </w:r>
          </w:p>
        </w:tc>
        <w:tc>
          <w:tcPr>
            <w:tcW w:w="1750" w:type="dxa"/>
          </w:tcPr>
          <w:p w14:paraId="00E1EDAB" w14:textId="77777777" w:rsidR="00C00DB1" w:rsidRDefault="00C00DB1" w:rsidP="004A4E1B">
            <w:pPr>
              <w:rPr>
                <w:szCs w:val="24"/>
              </w:rPr>
            </w:pPr>
          </w:p>
        </w:tc>
        <w:tc>
          <w:tcPr>
            <w:tcW w:w="2398" w:type="dxa"/>
          </w:tcPr>
          <w:p w14:paraId="76677715" w14:textId="77777777" w:rsidR="00C00DB1" w:rsidRDefault="00C00DB1" w:rsidP="004A4E1B">
            <w:pPr>
              <w:rPr>
                <w:szCs w:val="24"/>
              </w:rPr>
            </w:pPr>
          </w:p>
        </w:tc>
        <w:tc>
          <w:tcPr>
            <w:tcW w:w="1258" w:type="dxa"/>
          </w:tcPr>
          <w:p w14:paraId="7A506925" w14:textId="77777777" w:rsidR="00C00DB1" w:rsidRDefault="00C00DB1" w:rsidP="004A4E1B">
            <w:pPr>
              <w:rPr>
                <w:szCs w:val="24"/>
              </w:rPr>
            </w:pPr>
          </w:p>
        </w:tc>
      </w:tr>
    </w:tbl>
    <w:p w14:paraId="709B6B22" w14:textId="77777777" w:rsidR="00A074D5" w:rsidRDefault="00A074D5" w:rsidP="00FF3033">
      <w:pPr>
        <w:rPr>
          <w:szCs w:val="24"/>
        </w:rPr>
      </w:pPr>
    </w:p>
    <w:p w14:paraId="1569E161" w14:textId="77777777" w:rsidR="00521521" w:rsidRDefault="00521521" w:rsidP="00FF3033">
      <w:pPr>
        <w:rPr>
          <w:szCs w:val="24"/>
        </w:rPr>
      </w:pPr>
      <w:r>
        <w:rPr>
          <w:szCs w:val="24"/>
        </w:rPr>
        <w:t>Additional suggestions:</w:t>
      </w:r>
    </w:p>
    <w:p w14:paraId="19F7FA9E" w14:textId="77777777"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14:paraId="59563199" w14:textId="77777777" w:rsidR="00762714" w:rsidRDefault="00762714" w:rsidP="00521521">
      <w:pPr>
        <w:pStyle w:val="ListParagraph"/>
        <w:numPr>
          <w:ilvl w:val="0"/>
          <w:numId w:val="6"/>
        </w:numPr>
        <w:rPr>
          <w:szCs w:val="24"/>
        </w:rPr>
      </w:pPr>
      <w:r>
        <w:rPr>
          <w:szCs w:val="24"/>
        </w:rPr>
        <w:t>Scrutiny Inquiry Day on Natural Flood Risk Management</w:t>
      </w:r>
    </w:p>
    <w:p w14:paraId="5AB9AF3E" w14:textId="77777777" w:rsidR="00762714" w:rsidRDefault="00762714" w:rsidP="00521521">
      <w:pPr>
        <w:pStyle w:val="ListParagraph"/>
        <w:numPr>
          <w:ilvl w:val="0"/>
          <w:numId w:val="6"/>
        </w:numPr>
        <w:rPr>
          <w:szCs w:val="24"/>
        </w:rPr>
      </w:pPr>
      <w:r>
        <w:rPr>
          <w:szCs w:val="24"/>
        </w:rPr>
        <w:t>Non-crime</w:t>
      </w:r>
    </w:p>
    <w:p w14:paraId="2084D69C" w14:textId="77777777" w:rsidR="00913D15" w:rsidRDefault="00913D15" w:rsidP="00913D15">
      <w:pPr>
        <w:rPr>
          <w:szCs w:val="24"/>
        </w:rPr>
      </w:pPr>
      <w:r>
        <w:rPr>
          <w:szCs w:val="24"/>
        </w:rPr>
        <w:t>Bite size briefings:</w:t>
      </w:r>
    </w:p>
    <w:p w14:paraId="2329E688" w14:textId="77777777" w:rsidR="00913D15" w:rsidRPr="00913D15" w:rsidRDefault="00913D15" w:rsidP="00913D15">
      <w:pPr>
        <w:pStyle w:val="ListParagraph"/>
        <w:numPr>
          <w:ilvl w:val="0"/>
          <w:numId w:val="7"/>
        </w:numPr>
        <w:rPr>
          <w:szCs w:val="24"/>
        </w:rPr>
      </w:pPr>
      <w:r>
        <w:rPr>
          <w:szCs w:val="24"/>
        </w:rPr>
        <w:t>Universal Credit</w:t>
      </w:r>
    </w:p>
    <w:sectPr w:rsidR="00913D15" w:rsidRPr="00913D15"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366C" w14:textId="6A05D175" w:rsidR="00933ED4" w:rsidRPr="00933ED4" w:rsidRDefault="00CB69FB" w:rsidP="00933ED4">
    <w:pPr>
      <w:pStyle w:val="Header"/>
      <w:jc w:val="right"/>
      <w:rPr>
        <w:b/>
      </w:rPr>
    </w:pPr>
    <w:r>
      <w:rPr>
        <w:b/>
      </w:rP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D5685"/>
    <w:rsid w:val="000E7738"/>
    <w:rsid w:val="00111A57"/>
    <w:rsid w:val="0012008E"/>
    <w:rsid w:val="0013341F"/>
    <w:rsid w:val="00163DC6"/>
    <w:rsid w:val="001E0917"/>
    <w:rsid w:val="002B1D6A"/>
    <w:rsid w:val="002B6339"/>
    <w:rsid w:val="002F7473"/>
    <w:rsid w:val="00330248"/>
    <w:rsid w:val="003573DE"/>
    <w:rsid w:val="00422259"/>
    <w:rsid w:val="004278D7"/>
    <w:rsid w:val="00445F25"/>
    <w:rsid w:val="004C4F1C"/>
    <w:rsid w:val="0051373F"/>
    <w:rsid w:val="00520B45"/>
    <w:rsid w:val="00521521"/>
    <w:rsid w:val="00551D55"/>
    <w:rsid w:val="00556A6B"/>
    <w:rsid w:val="005842E9"/>
    <w:rsid w:val="00585376"/>
    <w:rsid w:val="005B3002"/>
    <w:rsid w:val="005C0BD3"/>
    <w:rsid w:val="005F70B6"/>
    <w:rsid w:val="00666DE4"/>
    <w:rsid w:val="00673267"/>
    <w:rsid w:val="00673BED"/>
    <w:rsid w:val="006F702A"/>
    <w:rsid w:val="00727378"/>
    <w:rsid w:val="00762714"/>
    <w:rsid w:val="007F4FE8"/>
    <w:rsid w:val="007F7306"/>
    <w:rsid w:val="00826CA9"/>
    <w:rsid w:val="00832E7F"/>
    <w:rsid w:val="00853A6F"/>
    <w:rsid w:val="008B6E06"/>
    <w:rsid w:val="00913D15"/>
    <w:rsid w:val="00920E92"/>
    <w:rsid w:val="00933ED4"/>
    <w:rsid w:val="00957472"/>
    <w:rsid w:val="009E4890"/>
    <w:rsid w:val="00A074D5"/>
    <w:rsid w:val="00A10125"/>
    <w:rsid w:val="00A21829"/>
    <w:rsid w:val="00A308E3"/>
    <w:rsid w:val="00A70F80"/>
    <w:rsid w:val="00AA7122"/>
    <w:rsid w:val="00AC2DBC"/>
    <w:rsid w:val="00B15642"/>
    <w:rsid w:val="00B40E68"/>
    <w:rsid w:val="00B46FA2"/>
    <w:rsid w:val="00B86F74"/>
    <w:rsid w:val="00BA63A6"/>
    <w:rsid w:val="00C00DB1"/>
    <w:rsid w:val="00C6466E"/>
    <w:rsid w:val="00CB69FB"/>
    <w:rsid w:val="00CC19C8"/>
    <w:rsid w:val="00CD5073"/>
    <w:rsid w:val="00DB4B6C"/>
    <w:rsid w:val="00E10F20"/>
    <w:rsid w:val="00F02F3F"/>
    <w:rsid w:val="00F73536"/>
    <w:rsid w:val="00F87420"/>
    <w:rsid w:val="00F96950"/>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29</cp:revision>
  <cp:lastPrinted>2018-05-24T09:59:00Z</cp:lastPrinted>
  <dcterms:created xsi:type="dcterms:W3CDTF">2018-04-04T11:20:00Z</dcterms:created>
  <dcterms:modified xsi:type="dcterms:W3CDTF">2018-09-13T14:34:00Z</dcterms:modified>
</cp:coreProperties>
</file>